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F26" w:rsidRPr="00E903CD" w:rsidRDefault="009E5F26" w:rsidP="009E5F26">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NUCLEAR</w:t>
      </w:r>
      <w:r w:rsidR="00BB6297">
        <w:rPr>
          <w:sz w:val="24"/>
          <w:szCs w:val="24"/>
        </w:rPr>
        <w:t xml:space="preserve"> </w:t>
      </w:r>
      <w:bookmarkStart w:id="0" w:name="_GoBack"/>
      <w:bookmarkEnd w:id="0"/>
      <w:r w:rsidRPr="00E903CD">
        <w:rPr>
          <w:sz w:val="24"/>
          <w:szCs w:val="24"/>
        </w:rPr>
        <w:br/>
        <w:t>TEST RIG DETERMINATION AND INSPECTION CHECK LIST</w:t>
      </w:r>
    </w:p>
    <w:p w:rsidR="009E5F26" w:rsidRPr="00E903CD" w:rsidRDefault="009E5F26" w:rsidP="009E5F26">
      <w:pPr>
        <w:tabs>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240"/>
        <w:ind w:left="2448" w:hanging="2448"/>
        <w:rPr>
          <w:sz w:val="24"/>
          <w:szCs w:val="24"/>
        </w:rPr>
      </w:pPr>
      <w:r>
        <w:rPr>
          <w:sz w:val="24"/>
          <w:szCs w:val="24"/>
        </w:rPr>
        <w:t>References:</w:t>
      </w:r>
      <w:r>
        <w:rPr>
          <w:sz w:val="24"/>
          <w:szCs w:val="24"/>
        </w:rPr>
        <w:tab/>
      </w:r>
      <w:r w:rsidRPr="00E903CD">
        <w:rPr>
          <w:sz w:val="24"/>
          <w:szCs w:val="24"/>
        </w:rPr>
        <w:t>(a)</w:t>
      </w:r>
      <w:r w:rsidRPr="00E903CD">
        <w:rPr>
          <w:sz w:val="24"/>
          <w:szCs w:val="24"/>
        </w:rPr>
        <w:tab/>
      </w:r>
      <w:r w:rsidRPr="00E903CD">
        <w:rPr>
          <w:sz w:val="24"/>
          <w:szCs w:val="24"/>
          <w:u w:val="single"/>
        </w:rPr>
        <w:t>NAVSEA 0387-046-8000</w:t>
      </w:r>
      <w:r w:rsidRPr="00E903CD">
        <w:rPr>
          <w:sz w:val="24"/>
          <w:szCs w:val="24"/>
        </w:rPr>
        <w:t xml:space="preserve"> - System Hydrostatic Test Requirements</w:t>
      </w: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rPr>
          <w:tblHeader/>
        </w:trPr>
        <w:tc>
          <w:tcPr>
            <w:tcW w:w="931" w:type="dxa"/>
            <w:tcBorders>
              <w:top w:val="single" w:sz="18" w:space="0" w:color="auto"/>
              <w:left w:val="single" w:sz="18"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ITEM NO.</w:t>
            </w:r>
          </w:p>
        </w:tc>
        <w:tc>
          <w:tcPr>
            <w:tcW w:w="7351" w:type="dxa"/>
            <w:tcBorders>
              <w:top w:val="single" w:sz="18" w:space="0" w:color="auto"/>
              <w:left w:val="single" w:sz="7"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7" w:space="0" w:color="auto"/>
              <w:bottom w:val="single" w:sz="8"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1.  Complete the following based on the information provided by the requesting activity.</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System or component to be tested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clear" w:pos="3168"/>
                <w:tab w:val="clear" w:pos="3888"/>
                <w:tab w:val="left" w:pos="-1440"/>
                <w:tab w:val="left" w:pos="-720"/>
                <w:tab w:val="left" w:pos="288"/>
                <w:tab w:val="left" w:pos="1008"/>
                <w:tab w:val="left" w:pos="1728"/>
                <w:tab w:val="left" w:pos="2448"/>
              </w:tabs>
              <w:spacing w:before="0" w:after="0"/>
            </w:pPr>
            <w:r>
              <w:t xml:space="preserve">Test Pressure </w:t>
            </w:r>
            <w:r>
              <w:rPr>
                <w:u w:val="single"/>
              </w:rPr>
              <w:t xml:space="preserve">                      </w:t>
            </w:r>
            <w:r>
              <w:t xml:space="preserve"> Reference</w:t>
            </w:r>
            <w:r>
              <w:rPr>
                <w:u w:val="single"/>
              </w:rPr>
              <w:tab/>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bottom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bottom w:val="single" w:sz="7" w:space="0" w:color="auto"/>
            </w:tcBorders>
          </w:tcPr>
          <w:p w:rsidR="009E5F26" w:rsidRDefault="009E5F26" w:rsidP="00F10976">
            <w:pPr>
              <w:pStyle w:val="CommentText"/>
              <w:widowControl/>
              <w:tabs>
                <w:tab w:val="left" w:pos="-1440"/>
                <w:tab w:val="left" w:pos="-720"/>
                <w:tab w:val="left" w:pos="288"/>
                <w:tab w:val="left" w:pos="1008"/>
                <w:tab w:val="left" w:pos="1728"/>
                <w:tab w:val="left" w:pos="2448"/>
              </w:tabs>
              <w:spacing w:before="0" w:after="240"/>
              <w:rPr>
                <w:rFonts w:ascii="Times New Roman" w:hAnsi="Times New Roman"/>
              </w:rPr>
            </w:pPr>
            <w:r>
              <w:rPr>
                <w:rFonts w:ascii="Times New Roman" w:hAnsi="Times New Roman"/>
              </w:rPr>
              <w:t>Number of test gages required:  Total__________</w:t>
            </w:r>
          </w:p>
          <w:p w:rsidR="009E5F26" w:rsidRDefault="009E5F26" w:rsidP="00F10976">
            <w:pPr>
              <w:tabs>
                <w:tab w:val="left" w:pos="-1440"/>
                <w:tab w:val="left" w:pos="-720"/>
                <w:tab w:val="left" w:pos="288"/>
                <w:tab w:val="left" w:pos="1008"/>
                <w:tab w:val="left" w:pos="1728"/>
                <w:tab w:val="left" w:pos="2448"/>
              </w:tabs>
              <w:spacing w:before="0" w:after="0"/>
            </w:pPr>
            <w:r>
              <w:t xml:space="preserve">Primary  </w:t>
            </w:r>
            <w:r>
              <w:rPr>
                <w:u w:val="single"/>
              </w:rPr>
              <w:t xml:space="preserve">                  </w:t>
            </w:r>
            <w:r>
              <w:t xml:space="preserve">  (per reference (a) Appendix D).</w:t>
            </w:r>
          </w:p>
          <w:p w:rsidR="009E5F26" w:rsidRDefault="009E5F26" w:rsidP="00F10976">
            <w:pPr>
              <w:tabs>
                <w:tab w:val="left" w:pos="-1440"/>
                <w:tab w:val="left" w:pos="-720"/>
                <w:tab w:val="left" w:pos="288"/>
                <w:tab w:val="left" w:pos="1008"/>
                <w:tab w:val="left" w:pos="1728"/>
                <w:tab w:val="left" w:pos="2448"/>
              </w:tabs>
              <w:spacing w:before="0" w:after="0"/>
            </w:pPr>
            <w:r>
              <w:t xml:space="preserve">Backup   </w:t>
            </w:r>
            <w:r>
              <w:rPr>
                <w:u w:val="single"/>
              </w:rPr>
              <w:t xml:space="preserve">                  </w:t>
            </w:r>
            <w:r>
              <w:t xml:space="preserve">  Indicate zero if multiple primary gages are required, one of which will also serve as a backup or if an installed system gage will be used.</w:t>
            </w:r>
          </w:p>
        </w:tc>
        <w:tc>
          <w:tcPr>
            <w:tcW w:w="1077" w:type="dxa"/>
            <w:tcBorders>
              <w:top w:val="single" w:sz="7" w:space="0" w:color="auto"/>
              <w:left w:val="single" w:sz="7" w:space="0" w:color="auto"/>
              <w:bottom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Level of cleanliness required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Planned method of over pressure protection (e.g., manual using installed system valve plus one automatic relief included with test rig, or other combination).  Unless otherwise specified, the rig will be provided with one manual and one automatic relief.</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2.  GAGES:  Normally installed instrumentation may be used as backup pressure indication.  If an installed gage is not available and the backup gage will be a temporary gage, then complete Items a-f for both primary and backup gages.  Otherwise, a-f apply to primary gage(s) only.</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Complete and attach reference (a), Figure 8-2 for selection of test gages.</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bottom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bottom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Reference (a), Figure 8-2, Item 8 (maximum gage error at test pressure) must not exceed 2% of test pressure.</w:t>
            </w:r>
          </w:p>
        </w:tc>
        <w:tc>
          <w:tcPr>
            <w:tcW w:w="1077" w:type="dxa"/>
            <w:tcBorders>
              <w:top w:val="single" w:sz="7" w:space="0" w:color="auto"/>
              <w:left w:val="single" w:sz="7"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Nominal indicated test pressure must be no less than 25% of the primary gage's range.  Nominal indicated test pressure must be no less than 10% of the backup gage's range, if the backup gage is a temporary gage.</w:t>
            </w: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pStyle w:val="CommentText"/>
              <w:widowControl/>
              <w:tabs>
                <w:tab w:val="left" w:pos="-1440"/>
                <w:tab w:val="left" w:pos="-720"/>
                <w:tab w:val="left" w:pos="288"/>
                <w:tab w:val="left" w:pos="1008"/>
                <w:tab w:val="left" w:pos="1728"/>
                <w:tab w:val="left" w:pos="2448"/>
              </w:tabs>
              <w:spacing w:before="0" w:after="0"/>
              <w:rPr>
                <w:rFonts w:ascii="Times New Roman" w:hAnsi="Times New Roman"/>
              </w:rPr>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gage range must be capable of indicating the manual over pressure protection pressure at no greater than 90% of full range and the potential maximum overpressure (when using a relief valve) at no greater than 98% of full range.</w:t>
            </w: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gages must be single scale analog gages or digital pressure instruments calibrated in psig.</w:t>
            </w: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rHeight w:val="890"/>
        </w:trPr>
        <w:tc>
          <w:tcPr>
            <w:tcW w:w="931" w:type="dxa"/>
            <w:tcBorders>
              <w:top w:val="single" w:sz="4" w:space="0" w:color="auto"/>
              <w:left w:val="single" w:sz="18"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f.</w:t>
            </w:r>
          </w:p>
        </w:tc>
        <w:tc>
          <w:tcPr>
            <w:tcW w:w="7351" w:type="dxa"/>
            <w:tcBorders>
              <w:top w:val="single" w:sz="4" w:space="0" w:color="auto"/>
              <w:left w:val="single" w:sz="4" w:space="0" w:color="auto"/>
              <w:bottom w:val="single" w:sz="4"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RECORD GAGE DATA:</w:t>
            </w:r>
          </w:p>
          <w:p w:rsidR="009E5F26" w:rsidRDefault="009E5F26" w:rsidP="00F10976">
            <w:pPr>
              <w:tabs>
                <w:tab w:val="left" w:pos="-1440"/>
                <w:tab w:val="left" w:pos="-720"/>
                <w:tab w:val="left" w:pos="288"/>
                <w:tab w:val="left" w:pos="1008"/>
                <w:tab w:val="left" w:pos="1728"/>
                <w:tab w:val="left" w:pos="2448"/>
              </w:tabs>
              <w:spacing w:before="240" w:after="240"/>
            </w:pPr>
            <w:r>
              <w:t xml:space="preserve">Primary gage range </w:t>
            </w:r>
            <w:r>
              <w:rPr>
                <w:u w:val="single"/>
              </w:rPr>
              <w:t xml:space="preserve">         </w:t>
            </w:r>
            <w:r>
              <w:t xml:space="preserve">  psi Cal due date</w:t>
            </w:r>
            <w:r>
              <w:rPr>
                <w:u w:val="single"/>
              </w:rPr>
              <w:t xml:space="preserve">           </w:t>
            </w:r>
            <w:r>
              <w:t xml:space="preserve">  Ser Number_________</w:t>
            </w:r>
          </w:p>
          <w:p w:rsidR="009E5F26" w:rsidRDefault="009E5F26" w:rsidP="00F10976">
            <w:pPr>
              <w:tabs>
                <w:tab w:val="left" w:pos="-1440"/>
                <w:tab w:val="left" w:pos="-720"/>
                <w:tab w:val="left" w:pos="288"/>
                <w:tab w:val="left" w:pos="1008"/>
                <w:tab w:val="left" w:pos="1728"/>
                <w:tab w:val="left" w:pos="2448"/>
              </w:tabs>
              <w:spacing w:before="0" w:after="0"/>
            </w:pPr>
            <w:r>
              <w:t xml:space="preserve">Backup gage range  </w:t>
            </w:r>
            <w:r>
              <w:rPr>
                <w:u w:val="single"/>
              </w:rPr>
              <w:t xml:space="preserve">         </w:t>
            </w:r>
            <w:r>
              <w:t xml:space="preserve">  psi Cal due date</w:t>
            </w:r>
            <w:r>
              <w:rPr>
                <w:u w:val="single"/>
              </w:rPr>
              <w:t xml:space="preserve">           </w:t>
            </w:r>
            <w:r>
              <w:t xml:space="preserve">  Ser Number_________</w:t>
            </w:r>
          </w:p>
          <w:p w:rsidR="009E5F26" w:rsidRDefault="009E5F26" w:rsidP="00F10976">
            <w:pPr>
              <w:tabs>
                <w:tab w:val="left" w:pos="-1440"/>
                <w:tab w:val="left" w:pos="-720"/>
                <w:tab w:val="left" w:pos="288"/>
                <w:tab w:val="left" w:pos="1008"/>
                <w:tab w:val="left" w:pos="1728"/>
                <w:tab w:val="left" w:pos="2448"/>
              </w:tabs>
              <w:spacing w:before="0" w:after="0"/>
            </w:pPr>
          </w:p>
        </w:tc>
        <w:tc>
          <w:tcPr>
            <w:tcW w:w="1077" w:type="dxa"/>
            <w:tcBorders>
              <w:top w:val="single" w:sz="4" w:space="0" w:color="auto"/>
              <w:left w:val="single" w:sz="4" w:space="0" w:color="auto"/>
              <w:bottom w:val="single" w:sz="4"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bl>
    <w:p w:rsidR="009E5F26" w:rsidRDefault="009E5F26" w:rsidP="009E5F26">
      <w:pPr>
        <w:sectPr w:rsidR="009E5F26" w:rsidSect="00E903CD">
          <w:headerReference w:type="even" r:id="rId6"/>
          <w:footerReference w:type="even" r:id="rId7"/>
          <w:footerReference w:type="default" r:id="rId8"/>
          <w:endnotePr>
            <w:numFmt w:val="decimal"/>
          </w:endnotePr>
          <w:pgSz w:w="12240" w:h="15840" w:code="1"/>
          <w:pgMar w:top="1440" w:right="1440" w:bottom="1440" w:left="1440" w:header="720" w:footer="720" w:gutter="0"/>
          <w:pgNumType w:start="1"/>
          <w:cols w:space="720"/>
          <w:noEndnote/>
        </w:sectPr>
      </w:pP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rPr>
          <w:tblHeader/>
        </w:trPr>
        <w:tc>
          <w:tcPr>
            <w:tcW w:w="931" w:type="dxa"/>
            <w:tcBorders>
              <w:top w:val="single" w:sz="18" w:space="0" w:color="auto"/>
              <w:lef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lastRenderedPageBreak/>
              <w:t>ITEM NO.</w:t>
            </w:r>
          </w:p>
        </w:tc>
        <w:tc>
          <w:tcPr>
            <w:tcW w:w="7351" w:type="dxa"/>
            <w:tcBorders>
              <w:top w:val="single" w:sz="18" w:space="0" w:color="auto"/>
              <w:left w:val="single" w:sz="7"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7"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c>
          <w:tcPr>
            <w:tcW w:w="931" w:type="dxa"/>
            <w:tcBorders>
              <w:top w:val="single" w:sz="7" w:space="0" w:color="auto"/>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g.</w:t>
            </w: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Gages have been calibrated within the required periodicity.  </w:t>
            </w:r>
          </w:p>
          <w:p w:rsidR="009E5F26" w:rsidRDefault="009E5F26" w:rsidP="00F10976">
            <w:pPr>
              <w:tabs>
                <w:tab w:val="left" w:pos="-1440"/>
                <w:tab w:val="left" w:pos="-720"/>
                <w:tab w:val="left" w:pos="288"/>
                <w:tab w:val="left" w:pos="1008"/>
                <w:tab w:val="left" w:pos="1728"/>
                <w:tab w:val="left" w:pos="2448"/>
              </w:tabs>
              <w:spacing w:before="240" w:after="240"/>
            </w:pPr>
            <w:r>
              <w:t>Circle applicable item:</w:t>
            </w:r>
          </w:p>
          <w:p w:rsidR="009E5F26" w:rsidRDefault="009E5F26" w:rsidP="00F10976">
            <w:pPr>
              <w:tabs>
                <w:tab w:val="left" w:pos="-1440"/>
                <w:tab w:val="left" w:pos="-720"/>
                <w:tab w:val="left" w:pos="288"/>
                <w:tab w:val="left" w:pos="1008"/>
                <w:tab w:val="left" w:pos="1728"/>
                <w:tab w:val="left" w:pos="2448"/>
              </w:tabs>
              <w:spacing w:before="0" w:after="0"/>
            </w:pPr>
            <w:r>
              <w:t xml:space="preserve">(1)  Normal metrology requirements list calibration frequency (This is the frequency unless specified otherwise for the specific test). </w:t>
            </w:r>
          </w:p>
          <w:p w:rsidR="009E5F26" w:rsidRDefault="009E5F26" w:rsidP="00F10976">
            <w:pPr>
              <w:tabs>
                <w:tab w:val="left" w:pos="-1440"/>
                <w:tab w:val="left" w:pos="-720"/>
                <w:tab w:val="left" w:pos="288"/>
                <w:tab w:val="left" w:pos="1008"/>
                <w:tab w:val="left" w:pos="1728"/>
                <w:tab w:val="left" w:pos="2448"/>
              </w:tabs>
              <w:spacing w:before="240" w:after="0"/>
            </w:pPr>
            <w:r>
              <w:t xml:space="preserve">(2)  Special frequency </w:t>
            </w:r>
            <w:r>
              <w:rPr>
                <w:u w:val="single"/>
              </w:rPr>
              <w:t xml:space="preserve">              </w:t>
            </w:r>
            <w:r>
              <w:t xml:space="preserve"> Required by </w:t>
            </w:r>
            <w:r>
              <w:rPr>
                <w:u w:val="single"/>
              </w:rPr>
              <w:t xml:space="preserve">                                   </w:t>
            </w:r>
            <w:r>
              <w:t>(Indicate required frequency and reference).</w:t>
            </w:r>
          </w:p>
        </w:tc>
        <w:tc>
          <w:tcPr>
            <w:tcW w:w="1077" w:type="dxa"/>
            <w:tcBorders>
              <w:top w:val="single" w:sz="7" w:space="0" w:color="auto"/>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3.  OVERPRESSURE PROTECTION:</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manual release of pressure is the primary method of protection.</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Automatic backup relief valve will be provided.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If the temporary relief valves provided are to be installed in the system, installation must be such that it does not cause damage to the system or system components.</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over-capacity of relief valves should not cause excessive thermal and pressure shock. (Relief valve capacity should not be grossly higher than pressure source capacity).</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The blow down characteristics must be compatible with the system being tested.  (The reseating characteristics of automatic reliefs should be consistent with the requirements of the system being tested.  For example, a relief that does not reseat until pressure is reduced to zero would not be acceptable for a primary hydro).  (Review manufacturer's data).</w:t>
            </w:r>
          </w:p>
        </w:tc>
        <w:tc>
          <w:tcPr>
            <w:tcW w:w="1077" w:type="dxa"/>
            <w:tcBorders>
              <w:top w:val="single" w:sz="7" w:space="0" w:color="auto"/>
              <w:left w:val="nil"/>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c>
          <w:tcPr>
            <w:tcW w:w="931" w:type="dxa"/>
            <w:tcBorders>
              <w:top w:val="single" w:sz="4" w:space="0" w:color="auto"/>
              <w:left w:val="single" w:sz="18" w:space="0" w:color="auto"/>
              <w:bottom w:val="single" w:sz="8"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f.</w:t>
            </w:r>
          </w:p>
        </w:tc>
        <w:tc>
          <w:tcPr>
            <w:tcW w:w="7351" w:type="dxa"/>
            <w:tcBorders>
              <w:left w:val="single" w:sz="4" w:space="0" w:color="auto"/>
              <w:bottom w:val="single" w:sz="8" w:space="0" w:color="auto"/>
              <w:right w:val="single" w:sz="4"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Valve accumulation at the flow of the test pressure source must not exceed 10% of the relief valve set point.</w:t>
            </w:r>
          </w:p>
        </w:tc>
        <w:tc>
          <w:tcPr>
            <w:tcW w:w="1077" w:type="dxa"/>
            <w:tcBorders>
              <w:top w:val="single" w:sz="4" w:space="0" w:color="auto"/>
              <w:left w:val="single" w:sz="4"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g.</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automatic relief valves which have more than one inlet and therefore provide different relief valve performance characteristics (e.g., set pressure) must not be used.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h.</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automatic reliefs which require no tools for set point adjustment (e.g., employ hand adjustment knob) must: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c>
          <w:tcPr>
            <w:tcW w:w="7351" w:type="dxa"/>
            <w:tcBorders>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(1)  Have some means to positively lock the setting once it has been made or</w:t>
            </w:r>
          </w:p>
          <w:p w:rsidR="009E5F26" w:rsidRDefault="009E5F26" w:rsidP="00F10976">
            <w:pPr>
              <w:tabs>
                <w:tab w:val="left" w:pos="-1440"/>
                <w:tab w:val="left" w:pos="-720"/>
                <w:tab w:val="left" w:pos="288"/>
                <w:tab w:val="left" w:pos="1008"/>
                <w:tab w:val="left" w:pos="1728"/>
                <w:tab w:val="left" w:pos="2448"/>
              </w:tabs>
              <w:spacing w:before="0" w:after="0"/>
            </w:pPr>
            <w:r>
              <w:t>(2)  Must be designed to prevent ready access to the adjustment knob.</w:t>
            </w:r>
          </w:p>
        </w:tc>
        <w:tc>
          <w:tcPr>
            <w:tcW w:w="1077" w:type="dxa"/>
            <w:tcBorders>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4.  OVERPRESSURE PROTECTION SETPOINT DETERMINATION:</w:t>
            </w: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Record required hydrostatic test pressure </w:t>
            </w:r>
            <w:r>
              <w:rPr>
                <w:u w:val="single"/>
              </w:rPr>
              <w:t xml:space="preserve">                </w:t>
            </w:r>
            <w:r>
              <w:t xml:space="preserve"> psi.</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7" w:space="0" w:color="auto"/>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Record required overpressure protection set point </w:t>
            </w:r>
            <w:r>
              <w:rPr>
                <w:u w:val="single"/>
              </w:rPr>
              <w:t xml:space="preserve">             </w:t>
            </w:r>
            <w:r>
              <w:t xml:space="preserve"> psi.</w:t>
            </w:r>
          </w:p>
          <w:p w:rsidR="009E5F26" w:rsidRDefault="009E5F26" w:rsidP="00F10976">
            <w:pPr>
              <w:tabs>
                <w:tab w:val="left" w:pos="-1440"/>
                <w:tab w:val="left" w:pos="-720"/>
                <w:tab w:val="left" w:pos="288"/>
                <w:tab w:val="left" w:pos="1008"/>
                <w:tab w:val="left" w:pos="1728"/>
                <w:tab w:val="left" w:pos="2448"/>
              </w:tabs>
              <w:spacing w:before="240" w:after="240"/>
            </w:pPr>
            <w:r>
              <w:t>Circle applicable determination method:</w:t>
            </w:r>
          </w:p>
          <w:p w:rsidR="009E5F26" w:rsidRDefault="009E5F26" w:rsidP="00F10976">
            <w:pPr>
              <w:tabs>
                <w:tab w:val="left" w:pos="-1440"/>
                <w:tab w:val="left" w:pos="-720"/>
                <w:tab w:val="left" w:pos="288"/>
                <w:tab w:val="left" w:pos="1008"/>
                <w:tab w:val="left" w:pos="1728"/>
                <w:tab w:val="left" w:pos="2448"/>
              </w:tabs>
              <w:spacing w:before="0" w:after="0"/>
            </w:pPr>
            <w:r>
              <w:t xml:space="preserve">(1)  As specified in the applicable RPM. </w:t>
            </w:r>
          </w:p>
          <w:p w:rsidR="009E5F26" w:rsidRDefault="009E5F26" w:rsidP="00F10976">
            <w:pPr>
              <w:tabs>
                <w:tab w:val="left" w:pos="-1440"/>
                <w:tab w:val="left" w:pos="-720"/>
                <w:tab w:val="left" w:pos="288"/>
                <w:tab w:val="left" w:pos="1008"/>
                <w:tab w:val="left" w:pos="1728"/>
                <w:tab w:val="left" w:pos="2448"/>
              </w:tabs>
              <w:spacing w:before="240"/>
              <w:ind w:left="346" w:hanging="346"/>
            </w:pPr>
            <w:r>
              <w:t>(2)  Other Naval Sea Systems Command (NAVSEA) approved document (identify reference).</w:t>
            </w:r>
          </w:p>
          <w:p w:rsidR="009E5F26" w:rsidRDefault="009E5F26" w:rsidP="00F10976">
            <w:pPr>
              <w:tabs>
                <w:tab w:val="left" w:pos="-1440"/>
                <w:tab w:val="left" w:pos="-720"/>
                <w:tab w:val="left" w:pos="288"/>
                <w:tab w:val="left" w:pos="1008"/>
                <w:tab w:val="left" w:pos="1728"/>
                <w:tab w:val="left" w:pos="2448"/>
              </w:tabs>
              <w:spacing w:before="0" w:after="0"/>
            </w:pPr>
            <w:r>
              <w:t>(3)  Using Reference (a), Figure 8-2 (attach).</w:t>
            </w:r>
          </w:p>
        </w:tc>
        <w:tc>
          <w:tcPr>
            <w:tcW w:w="1077" w:type="dxa"/>
            <w:tcBorders>
              <w:top w:val="single" w:sz="7" w:space="0" w:color="auto"/>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r w:rsidR="009E5F26" w:rsidTr="00F10976">
        <w:trPr>
          <w:tblHeader/>
        </w:trPr>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Potential maximum overpressure (Reference (a), Figure 8-2, item 29) conforms to the requirements of reference (a) Section E.3.3.</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p>
        </w:tc>
      </w:tr>
    </w:tbl>
    <w:p w:rsidR="009E5F26" w:rsidRDefault="009E5F26" w:rsidP="009E5F26">
      <w:pPr>
        <w:tabs>
          <w:tab w:val="left" w:pos="-1440"/>
          <w:tab w:val="left" w:pos="-720"/>
          <w:tab w:val="left" w:pos="288"/>
          <w:tab w:val="left" w:pos="1008"/>
          <w:tab w:val="left" w:pos="1728"/>
          <w:tab w:val="left" w:pos="2448"/>
        </w:tabs>
        <w:spacing w:before="0" w:after="0"/>
        <w:rPr>
          <w:b/>
        </w:rPr>
        <w:sectPr w:rsidR="009E5F26" w:rsidSect="00E903CD">
          <w:headerReference w:type="even" r:id="rId9"/>
          <w:footerReference w:type="even" r:id="rId10"/>
          <w:endnotePr>
            <w:numFmt w:val="decimal"/>
          </w:endnotePr>
          <w:pgSz w:w="12240" w:h="15840" w:code="1"/>
          <w:pgMar w:top="1440" w:right="1440" w:bottom="1440" w:left="1440" w:header="720" w:footer="720" w:gutter="0"/>
          <w:cols w:space="720"/>
          <w:noEndnote/>
        </w:sectPr>
      </w:pP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c>
          <w:tcPr>
            <w:tcW w:w="931" w:type="dxa"/>
            <w:tcBorders>
              <w:top w:val="single" w:sz="18" w:space="0" w:color="auto"/>
              <w:left w:val="single" w:sz="18"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lastRenderedPageBreak/>
              <w:t>ITEM NO.</w:t>
            </w:r>
          </w:p>
        </w:tc>
        <w:tc>
          <w:tcPr>
            <w:tcW w:w="7351" w:type="dxa"/>
            <w:tcBorders>
              <w:top w:val="single" w:sz="18" w:space="0" w:color="auto"/>
              <w:left w:val="single" w:sz="7" w:space="0" w:color="auto"/>
              <w:bottom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7" w:space="0" w:color="auto"/>
              <w:bottom w:val="single" w:sz="8"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rPr>
          <w:tblHeader/>
        </w:trPr>
        <w:tc>
          <w:tcPr>
            <w:tcW w:w="9359" w:type="dxa"/>
            <w:gridSpan w:val="3"/>
            <w:tcBorders>
              <w:top w:val="single" w:sz="8" w:space="0" w:color="auto"/>
              <w:left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5.  TEMPORARY EQUIPMENT REQUIREMENTS:</w:t>
            </w: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Temporary connections and equipment (cap, spool pieces, jumpers, blank flanges, etc.) must be verified to be capable of withstanding hydrostatic test pressure.</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Verify that within the last year and subsequent to disassembly or replacement of any test rig equipment, the assembled test rig (pump, hoses, gages, connecting tubing) has been satisfactorily tested to a pressure at least equal to the maximum pressure which might be encountered during this hydrostatic test.  (Hydro is not required to test pressure gage and relief valve replacement or fittings between subassemblies designed to be broken for portability.  Set point testing of the test rig relief valve while on the test rig meets this requirement).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Verify the rig has been cleaned to meet the system cleanliness requirements of the system being tested.  If the rig is not maintained clean, comply with the cleanliness boundary requirements of reference (a), Section E.4.</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rPr>
          <w:tblHeader/>
        </w:trPr>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No quick-disconnects with check features are to be used in the hydro rig.</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59" w:type="dxa"/>
            <w:gridSpan w:val="3"/>
            <w:tcBorders>
              <w:top w:val="single" w:sz="8" w:space="0" w:color="auto"/>
              <w:left w:val="single" w:sz="1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rPr>
                <w:b/>
              </w:rPr>
              <w:t>6.  OPERATIONAL TEST:</w:t>
            </w:r>
          </w:p>
        </w:tc>
      </w:tr>
      <w:tr w:rsidR="009E5F26" w:rsidTr="00F10976">
        <w:tc>
          <w:tcPr>
            <w:tcW w:w="9359" w:type="dxa"/>
            <w:gridSpan w:val="3"/>
            <w:tcBorders>
              <w:top w:val="single" w:sz="8" w:space="0" w:color="auto"/>
              <w:left w:val="single" w:sz="18" w:space="0" w:color="auto"/>
              <w:right w:val="single" w:sz="18" w:space="0" w:color="auto"/>
            </w:tcBorders>
          </w:tcPr>
          <w:p w:rsidR="009E5F26" w:rsidRDefault="009E5F26" w:rsidP="00F10976">
            <w:pPr>
              <w:pStyle w:val="BodyText"/>
              <w:spacing w:before="120"/>
            </w:pPr>
            <w:r>
              <w:t>INSTRUCTIONS:</w:t>
            </w:r>
            <w:r>
              <w:tab/>
              <w:t>The following checks must be performed with the test rig isolated from the system being tested.  This may be done by blanking the hose prior to connecting the rig to the system.  Equipment provided by an FMA will be tested at the FMA prior to being issued to a tended ship.  The operational test need not be repeated by the tended ship receiving the test gear.</w:t>
            </w:r>
          </w:p>
          <w:p w:rsidR="009E5F26" w:rsidRDefault="009E5F26" w:rsidP="00F10976">
            <w:pPr>
              <w:pStyle w:val="note"/>
              <w:spacing w:before="0" w:after="0"/>
            </w:pPr>
            <w:r>
              <w:t>NOTE:</w:t>
            </w:r>
            <w:r>
              <w:tab/>
              <w:t>FOR SHOP TEST FACILITIES (I.E., INTERMEDIATE MAINTENANCE ACTIVITIES, NAVAL SHIPYARDS AND TENDERS) WHERE HYDROSTATIC TESTS ARE CONDUCTED AT LEAST ONCE EVERY TWO WEEKS AND WHERE THE TEST GAGES (BACKUP AND MASTER) ARE COVERED UNDER THE NAVY METROLOGY AND CALIBRATION (METCAL) SYSTEM, CROSS CHECKING THE GAGES BEFORE TEST IS NOT REQUIRED.</w:t>
            </w: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a.</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Mark hydro gages with a red pointer at the required relief set point.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b.</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Raise rig pressure to the specified test pressure.  If the backup gage is included with the test rig, (vice an installed system gage) verify primary and backup gages are in agreement.  (Maximum difference after height correction is no more than the sum of the specified accuracies plus a readability error of one-half the smallest graduation of each gage).</w:t>
            </w:r>
          </w:p>
          <w:p w:rsidR="009E5F26" w:rsidRDefault="009E5F26" w:rsidP="00F10976">
            <w:pPr>
              <w:tabs>
                <w:tab w:val="left" w:pos="-1440"/>
                <w:tab w:val="left" w:pos="-720"/>
                <w:tab w:val="left" w:pos="288"/>
                <w:tab w:val="left" w:pos="1008"/>
                <w:tab w:val="left" w:pos="1728"/>
                <w:tab w:val="left" w:pos="2448"/>
              </w:tabs>
              <w:spacing w:before="240" w:after="240"/>
            </w:pPr>
            <w:r>
              <w:t xml:space="preserve">Required accuracy </w:t>
            </w:r>
            <w:r>
              <w:rPr>
                <w:u w:val="single"/>
              </w:rPr>
              <w:t xml:space="preserve">+ or -          </w:t>
            </w:r>
            <w:r>
              <w:t xml:space="preserve"> psig.</w:t>
            </w:r>
          </w:p>
          <w:p w:rsidR="009E5F26" w:rsidRDefault="009E5F26" w:rsidP="00F10976">
            <w:pPr>
              <w:tabs>
                <w:tab w:val="left" w:pos="-1440"/>
                <w:tab w:val="left" w:pos="-720"/>
                <w:tab w:val="left" w:pos="288"/>
                <w:tab w:val="left" w:pos="1008"/>
                <w:tab w:val="left" w:pos="1728"/>
                <w:tab w:val="left" w:pos="2448"/>
              </w:tabs>
              <w:spacing w:before="0" w:after="0"/>
            </w:pPr>
            <w:r>
              <w:t>If not in agreement, replace or re-calibrate and repeat this step until satisfied.</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c.</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 xml:space="preserve">Record required overpressure protection set point </w:t>
            </w:r>
            <w:r>
              <w:rPr>
                <w:u w:val="single"/>
              </w:rPr>
              <w:t xml:space="preserve">            </w:t>
            </w:r>
            <w:r>
              <w:t xml:space="preserve"> psig.</w:t>
            </w:r>
          </w:p>
          <w:p w:rsidR="009E5F26" w:rsidRDefault="009E5F26" w:rsidP="00F10976">
            <w:pPr>
              <w:tabs>
                <w:tab w:val="left" w:pos="-1440"/>
                <w:tab w:val="left" w:pos="-720"/>
                <w:tab w:val="left" w:pos="288"/>
                <w:tab w:val="left" w:pos="1008"/>
                <w:tab w:val="left" w:pos="1728"/>
                <w:tab w:val="left" w:pos="2448"/>
              </w:tabs>
              <w:spacing w:before="240" w:after="240"/>
            </w:pPr>
            <w:r>
              <w:t xml:space="preserve">Continue to raise pressure to the specified overpressure protection set point.  </w:t>
            </w:r>
          </w:p>
          <w:p w:rsidR="009E5F26" w:rsidRDefault="009E5F26" w:rsidP="00F10976">
            <w:pPr>
              <w:tabs>
                <w:tab w:val="left" w:pos="-1440"/>
                <w:tab w:val="left" w:pos="-720"/>
                <w:tab w:val="left" w:pos="288"/>
                <w:tab w:val="left" w:pos="1008"/>
                <w:tab w:val="left" w:pos="1728"/>
                <w:tab w:val="left" w:pos="2448"/>
              </w:tabs>
              <w:spacing w:before="0" w:after="0"/>
            </w:pPr>
            <w:r>
              <w:t xml:space="preserve">If the manual relief is installed on the rig, with the pressure source operating at the specified manual relief set point, verify that the </w:t>
            </w:r>
            <w:r>
              <w:rPr>
                <w:b/>
              </w:rPr>
              <w:t>manual</w:t>
            </w:r>
            <w:r>
              <w:t xml:space="preserve"> relief and associated piping relieve the capacity of the pressure source.</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d.</w:t>
            </w:r>
          </w:p>
        </w:tc>
        <w:tc>
          <w:tcPr>
            <w:tcW w:w="7351" w:type="dxa"/>
            <w:tcBorders>
              <w:top w:val="single" w:sz="7" w:space="0" w:color="auto"/>
              <w:left w:val="single" w:sz="7" w:space="0" w:color="auto"/>
              <w:bottom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Set or confirm set point of the automatic relief valve.</w:t>
            </w:r>
          </w:p>
          <w:p w:rsidR="009E5F26" w:rsidRDefault="009E5F26" w:rsidP="00F10976">
            <w:pPr>
              <w:tabs>
                <w:tab w:val="left" w:pos="-1440"/>
                <w:tab w:val="left" w:pos="-720"/>
                <w:tab w:val="left" w:pos="288"/>
                <w:tab w:val="left" w:pos="1008"/>
                <w:tab w:val="left" w:pos="1728"/>
                <w:tab w:val="left" w:pos="2448"/>
              </w:tabs>
              <w:spacing w:before="240" w:after="0"/>
            </w:pPr>
            <w:r>
              <w:t xml:space="preserve">With the pressure source operating and at the relief set point, verify that the </w:t>
            </w:r>
            <w:r>
              <w:rPr>
                <w:b/>
              </w:rPr>
              <w:t>automatic</w:t>
            </w:r>
            <w:r>
              <w:t xml:space="preserve"> relief and associated piping relieve the full capacity of the pressure source.  </w:t>
            </w:r>
            <w:r>
              <w:tab/>
            </w:r>
            <w:r>
              <w:tab/>
            </w:r>
          </w:p>
        </w:tc>
        <w:tc>
          <w:tcPr>
            <w:tcW w:w="1077" w:type="dxa"/>
            <w:tcBorders>
              <w:top w:val="single" w:sz="7" w:space="0" w:color="auto"/>
              <w:left w:val="single" w:sz="7"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e.</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Vent the rig to reduce pressure to reseat the automatic relief valve.  Slowly raise pressure again to recheck the automatic relief set point.</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bl>
    <w:p w:rsidR="009E5F26" w:rsidRDefault="009E5F26" w:rsidP="009E5F26">
      <w:pPr>
        <w:tabs>
          <w:tab w:val="left" w:pos="-1440"/>
          <w:tab w:val="left" w:pos="-720"/>
          <w:tab w:val="left" w:pos="288"/>
          <w:tab w:val="left" w:pos="1008"/>
          <w:tab w:val="left" w:pos="1728"/>
          <w:tab w:val="left" w:pos="2448"/>
        </w:tabs>
        <w:spacing w:before="0" w:after="0"/>
        <w:jc w:val="center"/>
        <w:sectPr w:rsidR="009E5F26" w:rsidSect="00E903CD">
          <w:endnotePr>
            <w:numFmt w:val="decimal"/>
          </w:endnotePr>
          <w:pgSz w:w="12240" w:h="15840" w:code="1"/>
          <w:pgMar w:top="1440" w:right="1440" w:bottom="1440" w:left="1440" w:header="720" w:footer="720" w:gutter="0"/>
          <w:cols w:space="720"/>
          <w:noEndnote/>
        </w:sectPr>
      </w:pPr>
    </w:p>
    <w:tbl>
      <w:tblPr>
        <w:tblW w:w="0" w:type="auto"/>
        <w:tblInd w:w="72" w:type="dxa"/>
        <w:tblLayout w:type="fixed"/>
        <w:tblCellMar>
          <w:left w:w="72" w:type="dxa"/>
          <w:right w:w="72" w:type="dxa"/>
        </w:tblCellMar>
        <w:tblLook w:val="0000" w:firstRow="0" w:lastRow="0" w:firstColumn="0" w:lastColumn="0" w:noHBand="0" w:noVBand="0"/>
      </w:tblPr>
      <w:tblGrid>
        <w:gridCol w:w="931"/>
        <w:gridCol w:w="7351"/>
        <w:gridCol w:w="1077"/>
      </w:tblGrid>
      <w:tr w:rsidR="009E5F26" w:rsidTr="00F10976">
        <w:tc>
          <w:tcPr>
            <w:tcW w:w="931" w:type="dxa"/>
            <w:tcBorders>
              <w:top w:val="single" w:sz="18" w:space="0" w:color="auto"/>
              <w:left w:val="single" w:sz="18" w:space="0" w:color="auto"/>
              <w:bottom w:val="single" w:sz="8" w:space="0" w:color="auto"/>
              <w:right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lastRenderedPageBreak/>
              <w:t>ITEM NO.</w:t>
            </w:r>
          </w:p>
        </w:tc>
        <w:tc>
          <w:tcPr>
            <w:tcW w:w="7351" w:type="dxa"/>
            <w:tcBorders>
              <w:top w:val="single" w:sz="18" w:space="0" w:color="auto"/>
              <w:left w:val="single" w:sz="8" w:space="0" w:color="auto"/>
              <w:bottom w:val="single" w:sz="8" w:space="0" w:color="auto"/>
              <w:right w:val="single" w:sz="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ATTRIBUTE</w:t>
            </w:r>
          </w:p>
        </w:tc>
        <w:tc>
          <w:tcPr>
            <w:tcW w:w="1077" w:type="dxa"/>
            <w:tcBorders>
              <w:top w:val="single" w:sz="18" w:space="0" w:color="auto"/>
              <w:left w:val="single" w:sz="8" w:space="0" w:color="auto"/>
              <w:bottom w:val="single" w:sz="8" w:space="0" w:color="auto"/>
              <w:right w:val="single" w:sz="18" w:space="0" w:color="auto"/>
            </w:tcBorders>
            <w:vAlign w:val="center"/>
          </w:tcPr>
          <w:p w:rsidR="009E5F26" w:rsidRDefault="009E5F26" w:rsidP="00F10976">
            <w:pPr>
              <w:tabs>
                <w:tab w:val="left" w:pos="-1440"/>
                <w:tab w:val="left" w:pos="-720"/>
                <w:tab w:val="left" w:pos="288"/>
                <w:tab w:val="left" w:pos="1008"/>
                <w:tab w:val="left" w:pos="1728"/>
                <w:tab w:val="left" w:pos="2448"/>
              </w:tabs>
              <w:spacing w:before="0" w:after="0"/>
              <w:jc w:val="center"/>
            </w:pPr>
            <w:r>
              <w:t>CHECK OFF</w:t>
            </w:r>
          </w:p>
          <w:p w:rsidR="009E5F26" w:rsidRDefault="009E5F26" w:rsidP="00F10976">
            <w:pPr>
              <w:tabs>
                <w:tab w:val="left" w:pos="-1440"/>
                <w:tab w:val="left" w:pos="-720"/>
                <w:tab w:val="left" w:pos="288"/>
                <w:tab w:val="left" w:pos="1008"/>
                <w:tab w:val="left" w:pos="1728"/>
                <w:tab w:val="left" w:pos="2448"/>
              </w:tabs>
              <w:spacing w:before="0" w:after="0"/>
              <w:jc w:val="center"/>
            </w:pPr>
            <w:r>
              <w:t>or N/A</w:t>
            </w:r>
          </w:p>
        </w:tc>
      </w:tr>
      <w:tr w:rsidR="009E5F26" w:rsidTr="00F10976">
        <w:tc>
          <w:tcPr>
            <w:tcW w:w="931" w:type="dxa"/>
            <w:tcBorders>
              <w:top w:val="single" w:sz="8" w:space="0" w:color="auto"/>
              <w:left w:val="single" w:sz="1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f.</w:t>
            </w:r>
          </w:p>
        </w:tc>
        <w:tc>
          <w:tcPr>
            <w:tcW w:w="7351" w:type="dxa"/>
            <w:tcBorders>
              <w:top w:val="single" w:sz="8" w:space="0" w:color="auto"/>
              <w:left w:val="single" w:sz="8" w:space="0" w:color="auto"/>
              <w:bottom w:val="single" w:sz="8" w:space="0" w:color="auto"/>
              <w:right w:val="single" w:sz="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With the rig vented, verify that pressure gages that will be installed as primary or backup pressure indication, which are not equipped with a dial adjustment device read zero (within the gage accuracy plus the readability of one half of the smallest graduation on the dial face).</w:t>
            </w:r>
          </w:p>
        </w:tc>
        <w:tc>
          <w:tcPr>
            <w:tcW w:w="1077" w:type="dxa"/>
            <w:tcBorders>
              <w:top w:val="single" w:sz="8" w:space="0" w:color="auto"/>
              <w:left w:val="single" w:sz="8" w:space="0" w:color="auto"/>
              <w:bottom w:val="single" w:sz="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g.</w:t>
            </w:r>
          </w:p>
        </w:tc>
        <w:tc>
          <w:tcPr>
            <w:tcW w:w="7351" w:type="dxa"/>
            <w:tcBorders>
              <w:top w:val="single" w:sz="7" w:space="0" w:color="auto"/>
              <w:left w:val="single" w:sz="7"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With the rig completely assembled, verify cleanliness by operating the pump to flush the pump and any attached piping or equipment.</w:t>
            </w:r>
          </w:p>
        </w:tc>
        <w:tc>
          <w:tcPr>
            <w:tcW w:w="1077" w:type="dxa"/>
            <w:tcBorders>
              <w:top w:val="single" w:sz="7" w:space="0" w:color="auto"/>
              <w:left w:val="single" w:sz="7"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r w:rsidR="009E5F26" w:rsidTr="00F10976">
        <w:tc>
          <w:tcPr>
            <w:tcW w:w="931" w:type="dxa"/>
            <w:tcBorders>
              <w:top w:val="single" w:sz="7" w:space="0" w:color="auto"/>
              <w:left w:val="single" w:sz="18" w:space="0" w:color="auto"/>
              <w:bottom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r>
              <w:t>h.</w:t>
            </w:r>
          </w:p>
        </w:tc>
        <w:tc>
          <w:tcPr>
            <w:tcW w:w="7351" w:type="dxa"/>
            <w:tcBorders>
              <w:top w:val="single" w:sz="7" w:space="0" w:color="auto"/>
              <w:left w:val="single" w:sz="7" w:space="0" w:color="auto"/>
              <w:bottom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pPr>
            <w:r>
              <w:t>Ensure cleanliness controls are established on the rig such that cleanliness is not lost in the interim period between flushing and the operational test and connection to the system being tested.</w:t>
            </w:r>
          </w:p>
        </w:tc>
        <w:tc>
          <w:tcPr>
            <w:tcW w:w="1077" w:type="dxa"/>
            <w:tcBorders>
              <w:top w:val="single" w:sz="7" w:space="0" w:color="auto"/>
              <w:left w:val="single" w:sz="7" w:space="0" w:color="auto"/>
              <w:bottom w:val="single" w:sz="18" w:space="0" w:color="auto"/>
              <w:right w:val="single" w:sz="18" w:space="0" w:color="auto"/>
            </w:tcBorders>
          </w:tcPr>
          <w:p w:rsidR="009E5F26" w:rsidRDefault="009E5F26" w:rsidP="00F10976">
            <w:pPr>
              <w:tabs>
                <w:tab w:val="left" w:pos="-1440"/>
                <w:tab w:val="left" w:pos="-720"/>
                <w:tab w:val="left" w:pos="288"/>
                <w:tab w:val="left" w:pos="1008"/>
                <w:tab w:val="left" w:pos="1728"/>
                <w:tab w:val="left" w:pos="2448"/>
              </w:tabs>
              <w:spacing w:before="0" w:after="0"/>
              <w:jc w:val="center"/>
            </w:pPr>
          </w:p>
        </w:tc>
      </w:tr>
    </w:tbl>
    <w:p w:rsidR="009E5F26" w:rsidRPr="00E903CD" w:rsidRDefault="009E5F26" w:rsidP="009E5F26">
      <w:pPr>
        <w:tabs>
          <w:tab w:val="clear" w:pos="3168"/>
          <w:tab w:val="clear" w:pos="3888"/>
          <w:tab w:val="clear" w:pos="4608"/>
          <w:tab w:val="clear" w:pos="5328"/>
          <w:tab w:val="clear" w:pos="6048"/>
          <w:tab w:val="clear" w:pos="6768"/>
          <w:tab w:val="clear" w:pos="7488"/>
          <w:tab w:val="clear" w:pos="8208"/>
          <w:tab w:val="clear" w:pos="8928"/>
        </w:tabs>
        <w:spacing w:before="720" w:after="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9E5F26" w:rsidRPr="00E903CD" w:rsidRDefault="009E5F26" w:rsidP="009E5F26">
      <w:pPr>
        <w:tabs>
          <w:tab w:val="clear" w:pos="3168"/>
          <w:tab w:val="clear" w:pos="3888"/>
          <w:tab w:val="clear" w:pos="4608"/>
          <w:tab w:val="clear" w:pos="5328"/>
          <w:tab w:val="clear" w:pos="6048"/>
          <w:tab w:val="clear" w:pos="6768"/>
          <w:tab w:val="clear" w:pos="7488"/>
          <w:tab w:val="clear" w:pos="8208"/>
          <w:tab w:val="clear" w:pos="8928"/>
        </w:tabs>
        <w:spacing w:before="360" w:after="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30FB5" w:rsidRDefault="009E5F26" w:rsidP="009E5F26">
      <w:pPr>
        <w:spacing w:before="360" w:after="360"/>
      </w:pPr>
      <w:r w:rsidRPr="00E903CD">
        <w:rPr>
          <w:sz w:val="24"/>
        </w:rPr>
        <w:t xml:space="preserve">Reviewed (Div Off or Engineering Duty Officer (EDO)) </w:t>
      </w:r>
      <w:r>
        <w:rPr>
          <w:sz w:val="24"/>
        </w:rPr>
        <w:t>_____________</w:t>
      </w:r>
      <w:r w:rsidRPr="00E903CD">
        <w:rPr>
          <w:sz w:val="24"/>
        </w:rPr>
        <w:t xml:space="preserve">Date </w:t>
      </w:r>
      <w:r>
        <w:rPr>
          <w:sz w:val="24"/>
        </w:rPr>
        <w:t>______________</w:t>
      </w:r>
    </w:p>
    <w:sectPr w:rsidR="00C30F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172" w:rsidRDefault="00D82172" w:rsidP="009E5F26">
      <w:pPr>
        <w:spacing w:before="0" w:after="0"/>
      </w:pPr>
      <w:r>
        <w:separator/>
      </w:r>
    </w:p>
  </w:endnote>
  <w:endnote w:type="continuationSeparator" w:id="0">
    <w:p w:rsidR="00D82172" w:rsidRDefault="00D82172" w:rsidP="009E5F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pPr>
      <w:tabs>
        <w:tab w:val="center" w:pos="4680"/>
      </w:tabs>
      <w:rPr>
        <w:rFonts w:ascii="CG Times" w:hAnsi="CG Times"/>
      </w:rPr>
    </w:pPr>
    <w:r>
      <w:rPr>
        <w:rFonts w:ascii="CG Times" w:hAnsi="CG Times"/>
        <w:b/>
      </w:rPr>
      <w:tab/>
      <w:t>(CONFIDENTIAL When filled in)</w:t>
    </w:r>
  </w:p>
  <w:p w:rsidR="006B6528" w:rsidRDefault="00D82172">
    <w:pPr>
      <w:tabs>
        <w:tab w:val="left" w:pos="-1440"/>
        <w:tab w:val="left" w:pos="-720"/>
        <w:tab w:val="left" w:pos="288"/>
        <w:tab w:val="left" w:pos="1008"/>
        <w:tab w:val="left" w:pos="1728"/>
        <w:tab w:val="left" w:pos="2448"/>
      </w:tabs>
      <w:rPr>
        <w:rFonts w:ascii="CG Times" w:hAnsi="CG Times"/>
      </w:rPr>
    </w:pPr>
  </w:p>
  <w:p w:rsidR="006B6528" w:rsidRDefault="009E5F26">
    <w:r>
      <w:rPr>
        <w:noProof/>
        <w:snapToGrid/>
      </w:rPr>
      <mc:AlternateContent>
        <mc:Choice Requires="wps">
          <w:drawing>
            <wp:anchor distT="0" distB="0" distL="114300" distR="114300" simplePos="0" relativeHeight="251659264" behindDoc="0" locked="0" layoutInCell="0" allowOverlap="1">
              <wp:simplePos x="0" y="0"/>
              <wp:positionH relativeFrom="page">
                <wp:posOffset>914400</wp:posOffset>
              </wp:positionH>
              <wp:positionV relativeFrom="paragraph">
                <wp:posOffset>0</wp:posOffset>
              </wp:positionV>
              <wp:extent cx="5943600" cy="1270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6B6528" w:rsidRDefault="00113A39">
                          <w:pPr>
                            <w:tabs>
                              <w:tab w:val="center" w:pos="4680"/>
                              <w:tab w:val="right" w:pos="9360"/>
                            </w:tabs>
                            <w:rPr>
                              <w:rFonts w:ascii="CG Times" w:hAnsi="CG Times"/>
                            </w:rPr>
                          </w:pPr>
                          <w:r>
                            <w:tab/>
                          </w:r>
                          <w:r>
                            <w:rPr>
                              <w:rFonts w:ascii="CG Times" w:hAnsi="CG Times"/>
                            </w:rPr>
                            <w:t>IV</w:t>
                          </w:r>
                          <w:r>
                            <w:rPr>
                              <w:rFonts w:ascii="CG Times" w:hAnsi="CG Times"/>
                            </w:rPr>
                            <w:noBreakHyphen/>
                            <w:t>I</w:t>
                          </w:r>
                          <w:r>
                            <w:rPr>
                              <w:rFonts w:ascii="CG Times" w:hAnsi="CG Times"/>
                            </w:rPr>
                            <w:noBreakHyphen/>
                            <w:t>20A</w:t>
                          </w:r>
                          <w:r>
                            <w:rPr>
                              <w:rFonts w:ascii="CG Times" w:hAnsi="CG Times"/>
                            </w:rPr>
                            <w:noBreakHyphen/>
                          </w:r>
                          <w:r>
                            <w:rPr>
                              <w:rFonts w:ascii="CG Times" w:hAnsi="CG Times"/>
                            </w:rPr>
                            <w:fldChar w:fldCharType="begin"/>
                          </w:r>
                          <w:r>
                            <w:rPr>
                              <w:rFonts w:ascii="CG Times" w:hAnsi="CG Times"/>
                            </w:rPr>
                            <w:instrText>page \* arabic</w:instrText>
                          </w:r>
                          <w:r>
                            <w:rPr>
                              <w:rFonts w:ascii="CG Times" w:hAnsi="CG Times"/>
                            </w:rPr>
                            <w:fldChar w:fldCharType="separate"/>
                          </w:r>
                          <w:r>
                            <w:rPr>
                              <w:rFonts w:ascii="CG Times" w:hAnsi="CG Times"/>
                              <w:noProof/>
                            </w:rPr>
                            <w:t>2</w:t>
                          </w:r>
                          <w:r>
                            <w:rPr>
                              <w:rFonts w:ascii="CG Times" w:hAnsi="CG Time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in;margin-top:0;width:468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" o:allowincell="f" filled="f" stroked="f" strokeweight="0">
              <v:textbox inset="0,0,0,0">
                <w:txbxContent>
                  <w:p w:rsidR="006B6528" w:rsidRDefault="00113A39">
                    <w:pPr>
                      <w:tabs>
                        <w:tab w:val="center" w:pos="4680"/>
                        <w:tab w:val="right" w:pos="9360"/>
                      </w:tabs>
                      <w:rPr>
                        <w:rFonts w:ascii="CG Times" w:hAnsi="CG Times"/>
                      </w:rPr>
                    </w:pPr>
                    <w:r>
                      <w:tab/>
                    </w:r>
                    <w:r>
                      <w:rPr>
                        <w:rFonts w:ascii="CG Times" w:hAnsi="CG Times"/>
                      </w:rPr>
                      <w:t>IV</w:t>
                    </w:r>
                    <w:r>
                      <w:rPr>
                        <w:rFonts w:ascii="CG Times" w:hAnsi="CG Times"/>
                      </w:rPr>
                      <w:noBreakHyphen/>
                      <w:t>I</w:t>
                    </w:r>
                    <w:r>
                      <w:rPr>
                        <w:rFonts w:ascii="CG Times" w:hAnsi="CG Times"/>
                      </w:rPr>
                      <w:noBreakHyphen/>
                      <w:t>20A</w:t>
                    </w:r>
                    <w:r>
                      <w:rPr>
                        <w:rFonts w:ascii="CG Times" w:hAnsi="CG Times"/>
                      </w:rPr>
                      <w:noBreakHyphen/>
                    </w:r>
                    <w:r>
                      <w:rPr>
                        <w:rFonts w:ascii="CG Times" w:hAnsi="CG Times"/>
                      </w:rPr>
                      <w:fldChar w:fldCharType="begin"/>
                    </w:r>
                    <w:r>
                      <w:rPr>
                        <w:rFonts w:ascii="CG Times" w:hAnsi="CG Times"/>
                      </w:rPr>
                      <w:instrText>page \* arabic</w:instrText>
                    </w:r>
                    <w:r>
                      <w:rPr>
                        <w:rFonts w:ascii="CG Times" w:hAnsi="CG Times"/>
                      </w:rPr>
                      <w:fldChar w:fldCharType="separate"/>
                    </w:r>
                    <w:r>
                      <w:rPr>
                        <w:rFonts w:ascii="CG Times" w:hAnsi="CG Times"/>
                        <w:noProof/>
                      </w:rPr>
                      <w:t>2</w:t>
                    </w:r>
                    <w:r>
                      <w:rPr>
                        <w:rFonts w:ascii="CG Times" w:hAnsi="CG Times"/>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Pr="001F2FF0" w:rsidRDefault="00113A39" w:rsidP="0030493D">
    <w:pPr>
      <w:tabs>
        <w:tab w:val="center" w:pos="4680"/>
      </w:tabs>
      <w:jc w:val="center"/>
      <w:rPr>
        <w:rFonts w:ascii="CG Times" w:hAnsi="CG Times"/>
        <w:sz w:val="24"/>
        <w:szCs w:val="24"/>
      </w:rPr>
    </w:pPr>
    <w:r w:rsidRPr="001F2FF0">
      <w:rPr>
        <w:rFonts w:ascii="CG Times" w:hAnsi="CG Times"/>
        <w:b/>
        <w:sz w:val="24"/>
        <w:szCs w:val="24"/>
      </w:rPr>
      <w:t>(CONFIDENTIAL When filled in)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rsidP="0030493D">
    <w:pPr>
      <w:tabs>
        <w:tab w:val="center" w:pos="4680"/>
      </w:tabs>
      <w:rPr>
        <w:rFonts w:ascii="CG Times" w:hAnsi="CG Times"/>
      </w:rPr>
    </w:pPr>
    <w:r>
      <w:rPr>
        <w:rFonts w:ascii="CG Times" w:hAnsi="CG Times"/>
        <w:b/>
      </w:rPr>
      <w:tab/>
      <w:t>(CONFIDENDIAL When filled in)</w:t>
    </w:r>
  </w:p>
  <w:p w:rsidR="006B6528" w:rsidRDefault="00113A39" w:rsidP="00506459">
    <w:pPr>
      <w:pStyle w:val="Footer"/>
      <w:spacing w:before="120" w:after="0"/>
    </w:pPr>
    <w:r>
      <w:t>IV-9A-2</w:t>
    </w:r>
    <w:r w:rsidRPr="00506459">
      <w:t xml:space="preserve"> </w:t>
    </w:r>
  </w:p>
  <w:p w:rsidR="006B6528" w:rsidRPr="00CC1377" w:rsidRDefault="00113A39" w:rsidP="00506459">
    <w:pPr>
      <w:pStyle w:val="Footer"/>
      <w:spacing w:before="0" w:after="120"/>
      <w:jc w:val="right"/>
    </w:pPr>
    <w:r>
      <w:t>APPENDIX 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172" w:rsidRDefault="00D82172" w:rsidP="009E5F26">
      <w:pPr>
        <w:spacing w:before="0" w:after="0"/>
      </w:pPr>
      <w:r>
        <w:separator/>
      </w:r>
    </w:p>
  </w:footnote>
  <w:footnote w:type="continuationSeparator" w:id="0">
    <w:p w:rsidR="00D82172" w:rsidRDefault="00D82172" w:rsidP="009E5F2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pPr>
      <w:tabs>
        <w:tab w:val="left" w:pos="-1440"/>
        <w:tab w:val="left" w:pos="-720"/>
        <w:tab w:val="left" w:pos="288"/>
        <w:tab w:val="left" w:pos="1008"/>
        <w:tab w:val="left" w:pos="1728"/>
        <w:tab w:val="left" w:pos="2448"/>
      </w:tabs>
      <w:spacing w:line="233" w:lineRule="auto"/>
      <w:rPr>
        <w:rFonts w:ascii="CG Times" w:hAnsi="CG Times"/>
      </w:rPr>
    </w:pPr>
    <w:r>
      <w:rPr>
        <w:rFonts w:ascii="CG Times" w:hAnsi="CG Times"/>
      </w:rPr>
      <w:t>CINCLANTFLT/CINCPACFLTINST 4790.3 CH-1</w:t>
    </w:r>
  </w:p>
  <w:p w:rsidR="006B6528" w:rsidRDefault="00D82172">
    <w:pPr>
      <w:spacing w:after="140"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113A39" w:rsidP="00FC002F">
    <w:pPr>
      <w:spacing w:before="0" w:after="240"/>
      <w:rPr>
        <w:sz w:val="10"/>
      </w:rPr>
    </w:pPr>
    <w:r>
      <w:t>COMUSFLTFORCOMINST 4790.3 REV 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F26"/>
    <w:rsid w:val="00113A39"/>
    <w:rsid w:val="001719A9"/>
    <w:rsid w:val="007C54B0"/>
    <w:rsid w:val="009E5F26"/>
    <w:rsid w:val="00BA7E46"/>
    <w:rsid w:val="00BB6297"/>
    <w:rsid w:val="00C30FB5"/>
    <w:rsid w:val="00D82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53B1E"/>
  <w15:chartTrackingRefBased/>
  <w15:docId w15:val="{F23B8893-972D-4263-B2D0-778627243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9E5F26"/>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5F26"/>
    <w:pPr>
      <w:tabs>
        <w:tab w:val="left" w:pos="-1440"/>
        <w:tab w:val="left" w:pos="-720"/>
        <w:tab w:val="left" w:pos="288"/>
        <w:tab w:val="left" w:pos="1008"/>
        <w:tab w:val="left" w:pos="1728"/>
        <w:tab w:val="left" w:pos="2448"/>
      </w:tabs>
      <w:spacing w:before="0" w:after="240"/>
    </w:pPr>
    <w:rPr>
      <w:b/>
    </w:rPr>
  </w:style>
  <w:style w:type="character" w:customStyle="1" w:styleId="BodyTextChar">
    <w:name w:val="Body Text Char"/>
    <w:basedOn w:val="DefaultParagraphFont"/>
    <w:link w:val="BodyText"/>
    <w:rsid w:val="009E5F26"/>
    <w:rPr>
      <w:rFonts w:ascii="Times New Roman" w:eastAsia="Times New Roman" w:hAnsi="Times New Roman" w:cs="Times New Roman"/>
      <w:b/>
      <w:snapToGrid w:val="0"/>
      <w:sz w:val="20"/>
      <w:szCs w:val="20"/>
    </w:rPr>
  </w:style>
  <w:style w:type="paragraph" w:styleId="CommentText">
    <w:name w:val="annotation text"/>
    <w:basedOn w:val="Normal"/>
    <w:link w:val="CommentTextChar"/>
    <w:semiHidden/>
    <w:rsid w:val="009E5F26"/>
    <w:pPr>
      <w:widowControl w:val="0"/>
    </w:pPr>
    <w:rPr>
      <w:rFonts w:ascii="Courier" w:hAnsi="Courier"/>
    </w:rPr>
  </w:style>
  <w:style w:type="character" w:customStyle="1" w:styleId="CommentTextChar">
    <w:name w:val="Comment Text Char"/>
    <w:basedOn w:val="DefaultParagraphFont"/>
    <w:link w:val="CommentText"/>
    <w:semiHidden/>
    <w:rsid w:val="009E5F26"/>
    <w:rPr>
      <w:rFonts w:ascii="Courier" w:eastAsia="Times New Roman" w:hAnsi="Courier" w:cs="Times New Roman"/>
      <w:snapToGrid w:val="0"/>
      <w:sz w:val="20"/>
      <w:szCs w:val="20"/>
    </w:rPr>
  </w:style>
  <w:style w:type="paragraph" w:customStyle="1" w:styleId="note">
    <w:name w:val="note"/>
    <w:basedOn w:val="Normal"/>
    <w:rsid w:val="009E5F26"/>
    <w:pPr>
      <w:widowControl w:val="0"/>
      <w:tabs>
        <w:tab w:val="left" w:pos="288"/>
        <w:tab w:val="left" w:pos="1008"/>
        <w:tab w:val="left" w:pos="1728"/>
        <w:tab w:val="left" w:pos="2448"/>
      </w:tabs>
      <w:spacing w:line="233" w:lineRule="auto"/>
      <w:ind w:left="1008" w:hanging="1008"/>
    </w:pPr>
    <w:rPr>
      <w:b/>
    </w:rPr>
  </w:style>
  <w:style w:type="character" w:styleId="PageNumber">
    <w:name w:val="page number"/>
    <w:basedOn w:val="DefaultParagraphFont"/>
    <w:rsid w:val="009E5F26"/>
  </w:style>
  <w:style w:type="paragraph" w:styleId="Title">
    <w:name w:val="Title"/>
    <w:basedOn w:val="Normal"/>
    <w:link w:val="TitleChar"/>
    <w:qFormat/>
    <w:rsid w:val="009E5F26"/>
    <w:pPr>
      <w:spacing w:after="240"/>
      <w:jc w:val="center"/>
    </w:pPr>
    <w:rPr>
      <w:b/>
    </w:rPr>
  </w:style>
  <w:style w:type="character" w:customStyle="1" w:styleId="TitleChar">
    <w:name w:val="Title Char"/>
    <w:basedOn w:val="DefaultParagraphFont"/>
    <w:link w:val="Title"/>
    <w:rsid w:val="009E5F26"/>
    <w:rPr>
      <w:rFonts w:ascii="Times New Roman" w:eastAsia="Times New Roman" w:hAnsi="Times New Roman" w:cs="Times New Roman"/>
      <w:b/>
      <w:snapToGrid w:val="0"/>
      <w:sz w:val="20"/>
      <w:szCs w:val="20"/>
    </w:rPr>
  </w:style>
  <w:style w:type="paragraph" w:styleId="Footer">
    <w:name w:val="footer"/>
    <w:basedOn w:val="Normal"/>
    <w:link w:val="FooterChar"/>
    <w:rsid w:val="009E5F26"/>
    <w:pPr>
      <w:tabs>
        <w:tab w:val="center" w:pos="4320"/>
        <w:tab w:val="right" w:pos="8640"/>
      </w:tabs>
      <w:spacing w:before="240" w:after="240"/>
      <w:jc w:val="center"/>
    </w:pPr>
  </w:style>
  <w:style w:type="character" w:customStyle="1" w:styleId="FooterChar">
    <w:name w:val="Footer Char"/>
    <w:basedOn w:val="DefaultParagraphFont"/>
    <w:link w:val="Footer"/>
    <w:rsid w:val="009E5F26"/>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9E5F26"/>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9E5F26"/>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09E7CF1F-8F0E-474D-845F-798467A9464E}"/>
</file>

<file path=customXml/itemProps2.xml><?xml version="1.0" encoding="utf-8"?>
<ds:datastoreItem xmlns:ds="http://schemas.openxmlformats.org/officeDocument/2006/customXml" ds:itemID="{9F546FD7-9889-4AD5-A5A8-3CC1CFB41050}"/>
</file>

<file path=customXml/itemProps3.xml><?xml version="1.0" encoding="utf-8"?>
<ds:datastoreItem xmlns:ds="http://schemas.openxmlformats.org/officeDocument/2006/customXml" ds:itemID="{F48CFDF6-CDC5-42D6-ADF2-1311CDB1F62E}"/>
</file>

<file path=docProps/app.xml><?xml version="1.0" encoding="utf-8"?>
<Properties xmlns="http://schemas.openxmlformats.org/officeDocument/2006/extended-properties" xmlns:vt="http://schemas.openxmlformats.org/officeDocument/2006/docPropsVTypes">
  <Template>Normal.dotm</Template>
  <TotalTime>3</TotalTime>
  <Pages>4</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2</cp:revision>
  <dcterms:created xsi:type="dcterms:W3CDTF">2022-04-18T12:04:00Z</dcterms:created>
  <dcterms:modified xsi:type="dcterms:W3CDTF">2023-11-14T15:15:00Z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1519300</vt:r8>
  </property>
  <property fmtid="{D5CDD505-2E9C-101B-9397-08002B2CF9AE}" pid="3" name="ContentTypeId">
    <vt:lpwstr>0x0101002BF1C5FB67ABA348B6C6025A91E92A0C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